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623F1"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731495">
        <w:rPr>
          <w:rFonts w:ascii="Times New Roman" w:eastAsia="Times New Roman" w:hAnsi="Times New Roman" w:cs="Times New Roman"/>
          <w:sz w:val="24"/>
          <w:szCs w:val="24"/>
          <w:lang w:eastAsia="ru-RU"/>
        </w:rPr>
        <w:t>7</w:t>
      </w:r>
    </w:p>
    <w:p w:rsidR="008920C7" w:rsidRPr="007623F1" w:rsidRDefault="008920C7" w:rsidP="008920C7">
      <w:pPr>
        <w:spacing w:after="0" w:line="240" w:lineRule="auto"/>
        <w:ind w:left="4248"/>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№___________от «___»____________2015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строительно-монтажных работ  </w:t>
      </w:r>
      <w:r w:rsidRPr="007623F1">
        <w:rPr>
          <w:rFonts w:ascii="Times New Roman" w:hAnsi="Times New Roman"/>
          <w:bCs/>
          <w:sz w:val="24"/>
          <w:szCs w:val="24"/>
        </w:rPr>
        <w:t xml:space="preserve">на объекте </w:t>
      </w:r>
      <w:r w:rsidR="00B954E7" w:rsidRPr="007623F1">
        <w:rPr>
          <w:rFonts w:ascii="Times New Roman" w:hAnsi="Times New Roman"/>
          <w:bCs/>
          <w:sz w:val="24"/>
          <w:szCs w:val="24"/>
        </w:rPr>
        <w:t xml:space="preserve">______________________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F2761E" w:rsidRPr="00F2761E" w:rsidRDefault="002A413A" w:rsidP="00983AB4">
      <w:pPr>
        <w:numPr>
          <w:ilvl w:val="1"/>
          <w:numId w:val="1"/>
        </w:numPr>
        <w:tabs>
          <w:tab w:val="clear" w:pos="675"/>
        </w:tabs>
        <w:spacing w:before="120" w:after="0" w:line="240" w:lineRule="auto"/>
        <w:ind w:left="709"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w:t>
      </w:r>
      <w:r w:rsidR="00491EDF">
        <w:rPr>
          <w:rFonts w:ascii="Times New Roman" w:eastAsia="Times New Roman" w:hAnsi="Times New Roman" w:cs="Times New Roman"/>
          <w:sz w:val="24"/>
          <w:szCs w:val="24"/>
          <w:lang w:eastAsia="ru-RU"/>
        </w:rPr>
        <w:t xml:space="preserve"> </w:t>
      </w:r>
      <w:r w:rsidR="00BA758D" w:rsidRPr="007B4E41">
        <w:rPr>
          <w:rFonts w:ascii="Times New Roman" w:eastAsia="Times New Roman" w:hAnsi="Times New Roman" w:cs="Times New Roman"/>
          <w:sz w:val="24"/>
          <w:szCs w:val="24"/>
          <w:lang w:eastAsia="ru-RU"/>
        </w:rPr>
        <w:t>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F65725" w:rsidRDefault="0051753B" w:rsidP="00F65725">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r w:rsidR="00BE603A">
        <w:rPr>
          <w:rFonts w:ascii="Times New Roman" w:eastAsia="Times New Roman" w:hAnsi="Times New Roman" w:cs="Times New Roman"/>
          <w:sz w:val="24"/>
          <w:szCs w:val="24"/>
          <w:lang w:eastAsia="ru-RU"/>
        </w:rPr>
        <w:t xml:space="preserve"> </w:t>
      </w:r>
    </w:p>
    <w:p w:rsidR="00F65725" w:rsidRPr="00F65725" w:rsidRDefault="00F65725"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обеспечивает выполнение работ собственными силами по реализации мероприятий по охране труда, пожарной, экологической, санитарно-эпидемиологической безопасности в соответствии с требованиями законодательства РФ и </w:t>
      </w:r>
      <w:r w:rsidR="00E5112F">
        <w:rPr>
          <w:rFonts w:ascii="Times New Roman" w:eastAsia="Times New Roman" w:hAnsi="Times New Roman" w:cs="Times New Roman"/>
          <w:sz w:val="24"/>
          <w:szCs w:val="24"/>
          <w:lang w:eastAsia="ru-RU"/>
        </w:rPr>
        <w:t xml:space="preserve">предусмотренных </w:t>
      </w:r>
      <w:r>
        <w:rPr>
          <w:rFonts w:ascii="Times New Roman" w:eastAsia="Times New Roman" w:hAnsi="Times New Roman" w:cs="Times New Roman"/>
          <w:sz w:val="24"/>
          <w:szCs w:val="24"/>
          <w:lang w:eastAsia="ru-RU"/>
        </w:rPr>
        <w:t>проект</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xml:space="preserve"> (план</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производства работ, акт</w:t>
      </w:r>
      <w:r w:rsidR="00E5112F">
        <w:rPr>
          <w:rFonts w:ascii="Times New Roman" w:eastAsia="Times New Roman" w:hAnsi="Times New Roman" w:cs="Times New Roman"/>
          <w:sz w:val="24"/>
          <w:szCs w:val="24"/>
          <w:lang w:eastAsia="ru-RU"/>
        </w:rPr>
        <w:t>ом-допуском</w:t>
      </w:r>
      <w:r>
        <w:rPr>
          <w:rFonts w:ascii="Times New Roman" w:eastAsia="Times New Roman" w:hAnsi="Times New Roman" w:cs="Times New Roman"/>
          <w:sz w:val="24"/>
          <w:szCs w:val="24"/>
          <w:lang w:eastAsia="ru-RU"/>
        </w:rPr>
        <w:t>, наряд</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-допуск</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xml:space="preserve">. </w:t>
      </w:r>
    </w:p>
    <w:p w:rsidR="00EE7A1D" w:rsidRPr="00E5112F" w:rsidRDefault="00A87CAA"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5112F">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w:t>
      </w:r>
      <w:r w:rsidR="00F2761E">
        <w:rPr>
          <w:rFonts w:ascii="Times New Roman" w:eastAsia="Times New Roman" w:hAnsi="Times New Roman" w:cs="Times New Roman"/>
          <w:sz w:val="24"/>
          <w:szCs w:val="24"/>
          <w:lang w:eastAsia="ru-RU"/>
        </w:rPr>
        <w:t xml:space="preserve"> </w:t>
      </w:r>
      <w:r w:rsidRPr="00E5112F">
        <w:rPr>
          <w:rFonts w:ascii="Times New Roman" w:eastAsia="Times New Roman" w:hAnsi="Times New Roman" w:cs="Times New Roman"/>
          <w:sz w:val="24"/>
          <w:szCs w:val="24"/>
          <w:lang w:eastAsia="ru-RU"/>
        </w:rPr>
        <w:t>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w:t>
      </w:r>
      <w:r w:rsidRPr="00F2761E">
        <w:rPr>
          <w:rFonts w:ascii="Times New Roman" w:eastAsia="Times New Roman" w:hAnsi="Times New Roman" w:cs="Times New Roman"/>
          <w:sz w:val="24"/>
          <w:szCs w:val="24"/>
          <w:lang w:eastAsia="ru-RU"/>
        </w:rPr>
        <w:t>ионного законодательства</w:t>
      </w:r>
      <w:r w:rsidR="00A231F3" w:rsidRPr="00F2761E">
        <w:rPr>
          <w:rFonts w:ascii="Times New Roman" w:eastAsia="Times New Roman" w:hAnsi="Times New Roman" w:cs="Times New Roman"/>
          <w:sz w:val="24"/>
          <w:szCs w:val="24"/>
          <w:lang w:eastAsia="ru-RU"/>
        </w:rPr>
        <w:t xml:space="preserve">, </w:t>
      </w:r>
      <w:r w:rsidR="00E5112F">
        <w:rPr>
          <w:rFonts w:ascii="Times New Roman" w:eastAsia="Times New Roman" w:hAnsi="Times New Roman" w:cs="Times New Roman"/>
          <w:sz w:val="24"/>
          <w:szCs w:val="24"/>
          <w:lang w:eastAsia="ru-RU"/>
        </w:rPr>
        <w:t xml:space="preserve"> </w:t>
      </w:r>
      <w:r w:rsidR="00A231F3" w:rsidRPr="00E5112F">
        <w:rPr>
          <w:rFonts w:ascii="Times New Roman" w:eastAsia="Times New Roman" w:hAnsi="Times New Roman" w:cs="Times New Roman"/>
          <w:sz w:val="24"/>
          <w:szCs w:val="24"/>
          <w:lang w:eastAsia="ru-RU"/>
        </w:rPr>
        <w:t>а также локальными нормативными актами Зак</w:t>
      </w:r>
      <w:r w:rsidR="00022F7D" w:rsidRPr="00E5112F">
        <w:rPr>
          <w:rFonts w:ascii="Times New Roman" w:eastAsia="Times New Roman" w:hAnsi="Times New Roman" w:cs="Times New Roman"/>
          <w:sz w:val="24"/>
          <w:szCs w:val="24"/>
          <w:lang w:eastAsia="ru-RU"/>
        </w:rPr>
        <w:t>а</w:t>
      </w:r>
      <w:r w:rsidR="00A231F3" w:rsidRPr="00E5112F">
        <w:rPr>
          <w:rFonts w:ascii="Times New Roman" w:eastAsia="Times New Roman" w:hAnsi="Times New Roman" w:cs="Times New Roman"/>
          <w:sz w:val="24"/>
          <w:szCs w:val="24"/>
          <w:lang w:eastAsia="ru-RU"/>
        </w:rPr>
        <w:t>зчика по данным вопросам</w:t>
      </w:r>
      <w:r w:rsidR="00E5112F">
        <w:rPr>
          <w:rFonts w:ascii="Times New Roman" w:eastAsia="Times New Roman" w:hAnsi="Times New Roman" w:cs="Times New Roman"/>
          <w:sz w:val="24"/>
          <w:szCs w:val="24"/>
          <w:lang w:eastAsia="ru-RU"/>
        </w:rPr>
        <w:t>.</w:t>
      </w:r>
    </w:p>
    <w:p w:rsidR="00087EF7" w:rsidRPr="007B4E41" w:rsidRDefault="00087EF7" w:rsidP="00F2761E">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предрейсовым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 xml:space="preserve">прошедших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спецобувью и средствами индивидуальной защиты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022F7D" w:rsidRDefault="00022F7D"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85354">
        <w:rPr>
          <w:rFonts w:ascii="Times New Roman" w:eastAsia="Times New Roman" w:hAnsi="Times New Roman" w:cs="Times New Roman"/>
          <w:sz w:val="24"/>
          <w:szCs w:val="24"/>
          <w:lang w:eastAsia="ru-RU"/>
        </w:rPr>
        <w:t>На 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p>
    <w:p w:rsidR="00022F7D" w:rsidRPr="00BB7D17" w:rsidRDefault="00022F7D" w:rsidP="00022F7D">
      <w:pPr>
        <w:spacing w:before="120" w:after="0" w:line="240" w:lineRule="auto"/>
        <w:ind w:left="675"/>
        <w:jc w:val="both"/>
        <w:rPr>
          <w:rFonts w:ascii="Times New Roman" w:eastAsia="Times New Roman" w:hAnsi="Times New Roman" w:cs="Times New Roman"/>
          <w:sz w:val="24"/>
          <w:szCs w:val="24"/>
          <w:lang w:eastAsia="ru-RU"/>
        </w:rPr>
      </w:pPr>
      <w:r w:rsidRPr="00BB7D17">
        <w:rPr>
          <w:rFonts w:ascii="Times New Roman" w:eastAsia="Times New Roman" w:hAnsi="Times New Roman" w:cs="Times New Roman"/>
          <w:sz w:val="24"/>
          <w:szCs w:val="24"/>
          <w:lang w:eastAsia="ru-RU"/>
        </w:rPr>
        <w:t xml:space="preserve">Заказчик имеет право удалить со Строительной площадки любое </w:t>
      </w:r>
      <w:r w:rsidRPr="00AE42ED">
        <w:rPr>
          <w:rFonts w:ascii="Times New Roman" w:eastAsia="Times New Roman" w:hAnsi="Times New Roman" w:cs="Times New Roman"/>
          <w:sz w:val="24"/>
          <w:szCs w:val="24"/>
          <w:lang w:eastAsia="ru-RU"/>
        </w:rPr>
        <w:t>лицо, являющееся сотрудником (и</w:t>
      </w:r>
      <w:r>
        <w:rPr>
          <w:rFonts w:ascii="Times New Roman" w:eastAsia="Times New Roman" w:hAnsi="Times New Roman" w:cs="Times New Roman"/>
          <w:sz w:val="24"/>
          <w:szCs w:val="24"/>
          <w:lang w:eastAsia="ru-RU"/>
        </w:rPr>
        <w:t>л</w:t>
      </w:r>
      <w:r w:rsidRPr="00BB7D17">
        <w:rPr>
          <w:rFonts w:ascii="Times New Roman" w:eastAsia="Times New Roman" w:hAnsi="Times New Roman" w:cs="Times New Roman"/>
          <w:sz w:val="24"/>
          <w:szCs w:val="24"/>
          <w:lang w:eastAsia="ru-RU"/>
        </w:rPr>
        <w:t xml:space="preserve">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w:t>
      </w:r>
      <w:r>
        <w:rPr>
          <w:rFonts w:ascii="Times New Roman" w:eastAsia="Times New Roman" w:hAnsi="Times New Roman" w:cs="Times New Roman"/>
          <w:sz w:val="24"/>
          <w:szCs w:val="24"/>
          <w:lang w:eastAsia="ru-RU"/>
        </w:rPr>
        <w:t xml:space="preserve">приложения к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у</w:t>
      </w:r>
      <w:r w:rsidRPr="00BB7D17">
        <w:rPr>
          <w:rFonts w:ascii="Times New Roman" w:eastAsia="Times New Roman" w:hAnsi="Times New Roman" w:cs="Times New Roman"/>
          <w:sz w:val="24"/>
          <w:szCs w:val="24"/>
          <w:lang w:eastAsia="ru-RU"/>
        </w:rPr>
        <w:t xml:space="preserve"> не освобождает Подрядчика от любой из его обязанностей и обязательств </w:t>
      </w:r>
      <w:r>
        <w:rPr>
          <w:rFonts w:ascii="Times New Roman" w:eastAsia="Times New Roman" w:hAnsi="Times New Roman" w:cs="Times New Roman"/>
          <w:sz w:val="24"/>
          <w:szCs w:val="24"/>
          <w:lang w:eastAsia="ru-RU"/>
        </w:rPr>
        <w:t>предусмотренных</w:t>
      </w:r>
      <w:r w:rsidRPr="00BB7D17">
        <w:rPr>
          <w:rFonts w:ascii="Times New Roman" w:eastAsia="Times New Roman" w:hAnsi="Times New Roman" w:cs="Times New Roman"/>
          <w:sz w:val="24"/>
          <w:szCs w:val="24"/>
          <w:lang w:eastAsia="ru-RU"/>
        </w:rPr>
        <w:t xml:space="preserve">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ом</w:t>
      </w:r>
      <w:r w:rsidRPr="00BB7D17">
        <w:rPr>
          <w:rFonts w:ascii="Times New Roman" w:eastAsia="Times New Roman" w:hAnsi="Times New Roman" w:cs="Times New Roman"/>
          <w:sz w:val="24"/>
          <w:szCs w:val="24"/>
          <w:lang w:eastAsia="ru-RU"/>
        </w:rPr>
        <w:t xml:space="preserve">. Решение Заказчика об удалении и недопущении любого лица на Строительную площадку является окончательным.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w:t>
      </w:r>
      <w:r>
        <w:rPr>
          <w:rFonts w:ascii="Times New Roman" w:eastAsia="Times New Roman" w:hAnsi="Times New Roman" w:cs="Times New Roman"/>
          <w:sz w:val="24"/>
          <w:szCs w:val="24"/>
          <w:lang w:eastAsia="ru-RU"/>
        </w:rPr>
        <w:t xml:space="preserve">приложения к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у</w:t>
      </w:r>
      <w:r w:rsidRPr="00BB7D17">
        <w:rPr>
          <w:rFonts w:ascii="Times New Roman" w:eastAsia="Times New Roman" w:hAnsi="Times New Roman" w:cs="Times New Roman"/>
          <w:sz w:val="24"/>
          <w:szCs w:val="24"/>
          <w:lang w:eastAsia="ru-RU"/>
        </w:rPr>
        <w:t>.</w:t>
      </w:r>
    </w:p>
    <w:p w:rsidR="00022F7D" w:rsidRPr="007623F1" w:rsidRDefault="00022F7D" w:rsidP="00983AB4">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983AB4" w:rsidRDefault="007E1AF7" w:rsidP="00983AB4">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обязан проводить обучение (предаттестационную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983AB4">
      <w:pPr>
        <w:numPr>
          <w:ilvl w:val="0"/>
          <w:numId w:val="38"/>
        </w:numPr>
        <w:spacing w:before="240"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w:t>
      </w:r>
      <w:r w:rsidR="00BE5EDC">
        <w:rPr>
          <w:rFonts w:ascii="Times New Roman" w:eastAsia="Times New Roman" w:hAnsi="Times New Roman" w:cs="Times New Roman"/>
          <w:sz w:val="24"/>
          <w:szCs w:val="24"/>
          <w:lang w:eastAsia="ru-RU"/>
        </w:rPr>
        <w:t>промышленной</w:t>
      </w:r>
      <w:r w:rsidR="00E5112F">
        <w:rPr>
          <w:rFonts w:ascii="Times New Roman" w:eastAsia="Times New Roman" w:hAnsi="Times New Roman" w:cs="Times New Roman"/>
          <w:sz w:val="24"/>
          <w:szCs w:val="24"/>
          <w:lang w:eastAsia="ru-RU"/>
        </w:rPr>
        <w:t xml:space="preserve"> (электробезопасности)</w:t>
      </w:r>
      <w:r w:rsidR="00BE5EDC">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пожарной безопасности</w:t>
      </w:r>
      <w:r w:rsidR="00E5112F">
        <w:rPr>
          <w:rFonts w:ascii="Times New Roman" w:eastAsia="Times New Roman" w:hAnsi="Times New Roman" w:cs="Times New Roman"/>
          <w:sz w:val="24"/>
          <w:szCs w:val="24"/>
          <w:lang w:eastAsia="ru-RU"/>
        </w:rPr>
        <w:t xml:space="preserve">, в том числе </w:t>
      </w:r>
      <w:r w:rsidRPr="007623F1">
        <w:rPr>
          <w:rFonts w:ascii="Times New Roman" w:eastAsia="Times New Roman" w:hAnsi="Times New Roman" w:cs="Times New Roman"/>
          <w:sz w:val="24"/>
          <w:szCs w:val="24"/>
          <w:lang w:eastAsia="ru-RU"/>
        </w:rPr>
        <w:t xml:space="preserve"> за умение использовать средства пожаротушения</w:t>
      </w:r>
      <w:r w:rsidR="00E5112F">
        <w:rPr>
          <w:rFonts w:ascii="Times New Roman" w:eastAsia="Times New Roman" w:hAnsi="Times New Roman" w:cs="Times New Roman"/>
          <w:sz w:val="24"/>
          <w:szCs w:val="24"/>
          <w:lang w:eastAsia="ru-RU"/>
        </w:rPr>
        <w:t>, оказывать первую помощь пострадавшим до оказания медицинской помощи</w:t>
      </w:r>
      <w:r w:rsidRPr="007623F1">
        <w:rPr>
          <w:rFonts w:ascii="Times New Roman" w:eastAsia="Times New Roman" w:hAnsi="Times New Roman" w:cs="Times New Roman"/>
          <w:sz w:val="24"/>
          <w:szCs w:val="24"/>
          <w:lang w:eastAsia="ru-RU"/>
        </w:rPr>
        <w:t>.</w:t>
      </w:r>
    </w:p>
    <w:p w:rsidR="005B25DC" w:rsidRPr="007623F1" w:rsidRDefault="005B25DC"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сантирно-эпидемиологической безопасности. </w:t>
      </w:r>
    </w:p>
    <w:p w:rsidR="008920C7" w:rsidRPr="007623F1"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920C7" w:rsidRPr="007623F1" w:rsidRDefault="008920C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983AB4" w:rsidRDefault="008920C7" w:rsidP="00983AB4">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tbl>
      <w:tblPr>
        <w:tblW w:w="10562" w:type="dxa"/>
        <w:tblInd w:w="108" w:type="dxa"/>
        <w:tblLayout w:type="fixed"/>
        <w:tblLook w:val="01E0" w:firstRow="1" w:lastRow="1" w:firstColumn="1" w:lastColumn="1" w:noHBand="0" w:noVBand="0"/>
      </w:tblPr>
      <w:tblGrid>
        <w:gridCol w:w="5202"/>
        <w:gridCol w:w="5360"/>
      </w:tblGrid>
      <w:tr w:rsidR="00517277" w:rsidRPr="00023B5E" w:rsidTr="00D52BBB">
        <w:trPr>
          <w:trHeight w:val="552"/>
        </w:trPr>
        <w:tc>
          <w:tcPr>
            <w:tcW w:w="5202"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hAnsi="Times New Roman"/>
                <w:b/>
                <w:sz w:val="24"/>
                <w:szCs w:val="24"/>
              </w:rPr>
            </w:pPr>
            <w:r w:rsidRPr="00023B5E">
              <w:rPr>
                <w:rFonts w:ascii="Times New Roman" w:hAnsi="Times New Roman"/>
                <w:b/>
                <w:bCs/>
                <w:color w:val="333333"/>
                <w:sz w:val="24"/>
                <w:szCs w:val="24"/>
              </w:rPr>
              <w:br w:type="page"/>
            </w:r>
            <w:r w:rsidRPr="00023B5E">
              <w:rPr>
                <w:rFonts w:ascii="Times New Roman" w:eastAsia="Times New Roman" w:hAnsi="Times New Roman"/>
                <w:b/>
                <w:sz w:val="24"/>
                <w:szCs w:val="24"/>
                <w:lang w:eastAsia="ru-RU"/>
              </w:rPr>
              <w:t>Заказчик</w:t>
            </w:r>
          </w:p>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Подрядчик</w:t>
            </w:r>
          </w:p>
        </w:tc>
      </w:tr>
      <w:tr w:rsidR="00517277" w:rsidRPr="00023B5E" w:rsidTr="00D52BBB">
        <w:trPr>
          <w:trHeight w:val="552"/>
        </w:trPr>
        <w:tc>
          <w:tcPr>
            <w:tcW w:w="5202"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 xml:space="preserve">________________/ </w:t>
            </w:r>
            <w:r>
              <w:rPr>
                <w:rFonts w:ascii="Times New Roman" w:eastAsia="Times New Roman" w:hAnsi="Times New Roman"/>
                <w:b/>
                <w:sz w:val="24"/>
                <w:szCs w:val="24"/>
                <w:lang w:eastAsia="ru-RU"/>
              </w:rPr>
              <w:t>А.С. Савченко</w:t>
            </w:r>
            <w:r w:rsidRPr="00023B5E" w:rsidDel="001D37C6">
              <w:rPr>
                <w:rFonts w:ascii="Times New Roman" w:eastAsia="Times New Roman" w:hAnsi="Times New Roman"/>
                <w:b/>
                <w:sz w:val="24"/>
                <w:szCs w:val="24"/>
                <w:lang w:eastAsia="ru-RU"/>
              </w:rPr>
              <w:t xml:space="preserve"> </w:t>
            </w:r>
            <w:r w:rsidRPr="00023B5E">
              <w:rPr>
                <w:rFonts w:ascii="Times New Roman" w:eastAsia="Times New Roman" w:hAnsi="Times New Roman"/>
                <w:b/>
                <w:sz w:val="24"/>
                <w:szCs w:val="24"/>
                <w:lang w:eastAsia="ru-RU"/>
              </w:rPr>
              <w:t xml:space="preserve">/                                </w:t>
            </w:r>
          </w:p>
        </w:tc>
        <w:tc>
          <w:tcPr>
            <w:tcW w:w="5360" w:type="dxa"/>
          </w:tcPr>
          <w:p w:rsidR="00517277" w:rsidRPr="00023B5E" w:rsidRDefault="00517277" w:rsidP="00D52BBB">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sz w:val="24"/>
                <w:szCs w:val="24"/>
                <w:lang w:eastAsia="ru-RU"/>
              </w:rPr>
              <w:t xml:space="preserve"> </w:t>
            </w:r>
            <w:r w:rsidRPr="00023B5E">
              <w:rPr>
                <w:rFonts w:ascii="Times New Roman" w:eastAsia="Times New Roman" w:hAnsi="Times New Roman"/>
                <w:b/>
                <w:sz w:val="24"/>
                <w:szCs w:val="24"/>
                <w:lang w:eastAsia="ru-RU"/>
              </w:rPr>
              <w:t xml:space="preserve">________________/ </w:t>
            </w:r>
            <w:r w:rsidR="00731495">
              <w:rPr>
                <w:rFonts w:ascii="Times New Roman" w:eastAsia="Times New Roman" w:hAnsi="Times New Roman"/>
                <w:b/>
                <w:sz w:val="24"/>
                <w:szCs w:val="24"/>
                <w:lang w:eastAsia="ru-RU"/>
              </w:rPr>
              <w:t>__________</w:t>
            </w:r>
            <w:r w:rsidRPr="001D37C6">
              <w:rPr>
                <w:rFonts w:ascii="Times New Roman" w:eastAsia="Times New Roman" w:hAnsi="Times New Roman"/>
                <w:b/>
                <w:sz w:val="24"/>
                <w:szCs w:val="24"/>
                <w:lang w:eastAsia="ru-RU"/>
              </w:rPr>
              <w:t xml:space="preserve"> </w:t>
            </w:r>
            <w:r w:rsidRPr="00023B5E">
              <w:rPr>
                <w:rFonts w:ascii="Times New Roman" w:eastAsia="Times New Roman" w:hAnsi="Times New Roman"/>
                <w:b/>
                <w:sz w:val="24"/>
                <w:szCs w:val="24"/>
                <w:lang w:eastAsia="ru-RU"/>
              </w:rPr>
              <w:t xml:space="preserve">/                                </w:t>
            </w:r>
          </w:p>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517277" w:rsidRPr="00023B5E" w:rsidTr="00D52BBB">
        <w:trPr>
          <w:trHeight w:val="87"/>
        </w:trPr>
        <w:tc>
          <w:tcPr>
            <w:tcW w:w="5202" w:type="dxa"/>
          </w:tcPr>
          <w:p w:rsidR="00517277" w:rsidRPr="00023B5E" w:rsidRDefault="00517277" w:rsidP="00D52BBB">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c>
          <w:tcPr>
            <w:tcW w:w="5360" w:type="dxa"/>
          </w:tcPr>
          <w:p w:rsidR="00517277" w:rsidRPr="00023B5E" w:rsidRDefault="00517277" w:rsidP="00D52BBB">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r>
    </w:tbl>
    <w:p w:rsidR="008920C7" w:rsidRPr="008920C7" w:rsidRDefault="008920C7" w:rsidP="008920C7">
      <w:pPr>
        <w:spacing w:after="0" w:line="240" w:lineRule="auto"/>
        <w:rPr>
          <w:rFonts w:ascii="Times New Roman" w:eastAsia="Times New Roman" w:hAnsi="Times New Roman" w:cs="Times New Roman"/>
          <w:sz w:val="24"/>
          <w:szCs w:val="24"/>
          <w:lang w:eastAsia="ru-RU"/>
        </w:rPr>
      </w:pPr>
      <w:bookmarkStart w:id="0" w:name="_GoBack"/>
      <w:bookmarkEnd w:id="0"/>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ABE" w:rsidRDefault="00FF1ABE" w:rsidP="001535AC">
      <w:pPr>
        <w:spacing w:after="0" w:line="240" w:lineRule="auto"/>
      </w:pPr>
      <w:r>
        <w:separator/>
      </w:r>
    </w:p>
  </w:endnote>
  <w:endnote w:type="continuationSeparator" w:id="0">
    <w:p w:rsidR="00FF1ABE" w:rsidRDefault="00FF1ABE"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983AB4">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983AB4">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ABE" w:rsidRDefault="00FF1ABE" w:rsidP="001535AC">
      <w:pPr>
        <w:spacing w:after="0" w:line="240" w:lineRule="auto"/>
      </w:pPr>
      <w:r>
        <w:separator/>
      </w:r>
    </w:p>
  </w:footnote>
  <w:footnote w:type="continuationSeparator" w:id="0">
    <w:p w:rsidR="00FF1ABE" w:rsidRDefault="00FF1ABE"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14">
    <w:nsid w:val="244A7309"/>
    <w:multiLevelType w:val="singleLevel"/>
    <w:tmpl w:val="8DA46A42"/>
    <w:lvl w:ilvl="0">
      <w:start w:val="2"/>
      <w:numFmt w:val="none"/>
      <w:lvlText w:val="-"/>
      <w:legacy w:legacy="1" w:legacySpace="0" w:legacyIndent="825"/>
      <w:lvlJc w:val="left"/>
      <w:pPr>
        <w:ind w:left="1534" w:hanging="825"/>
      </w:pPr>
    </w:lvl>
  </w:abstractNum>
  <w:abstractNum w:abstractNumId="15">
    <w:nsid w:val="261B198C"/>
    <w:multiLevelType w:val="singleLevel"/>
    <w:tmpl w:val="8DA46A42"/>
    <w:lvl w:ilvl="0">
      <w:start w:val="2"/>
      <w:numFmt w:val="none"/>
      <w:lvlText w:val="-"/>
      <w:legacy w:legacy="1" w:legacySpace="0" w:legacyIndent="825"/>
      <w:lvlJc w:val="left"/>
      <w:pPr>
        <w:ind w:left="1573" w:hanging="825"/>
      </w:pPr>
    </w:lvl>
  </w:abstractNum>
  <w:abstractNum w:abstractNumId="16">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3ED76C97"/>
    <w:multiLevelType w:val="singleLevel"/>
    <w:tmpl w:val="8DA46A42"/>
    <w:lvl w:ilvl="0">
      <w:start w:val="2"/>
      <w:numFmt w:val="none"/>
      <w:lvlText w:val="-"/>
      <w:legacy w:legacy="1" w:legacySpace="0" w:legacyIndent="825"/>
      <w:lvlJc w:val="left"/>
      <w:pPr>
        <w:ind w:left="1534" w:hanging="825"/>
      </w:pPr>
    </w:lvl>
  </w:abstractNum>
  <w:abstractNum w:abstractNumId="22">
    <w:nsid w:val="433F7C68"/>
    <w:multiLevelType w:val="singleLevel"/>
    <w:tmpl w:val="8DA46A42"/>
    <w:lvl w:ilvl="0">
      <w:start w:val="2"/>
      <w:numFmt w:val="none"/>
      <w:lvlText w:val="-"/>
      <w:legacy w:legacy="1" w:legacySpace="0" w:legacyIndent="825"/>
      <w:lvlJc w:val="left"/>
      <w:pPr>
        <w:ind w:left="1725" w:hanging="825"/>
      </w:pPr>
    </w:lvl>
  </w:abstractNum>
  <w:abstractNum w:abstractNumId="23">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4">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5">
    <w:nsid w:val="4CB1554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60A1434"/>
    <w:multiLevelType w:val="singleLevel"/>
    <w:tmpl w:val="8DA46A42"/>
    <w:lvl w:ilvl="0">
      <w:start w:val="2"/>
      <w:numFmt w:val="none"/>
      <w:lvlText w:val="-"/>
      <w:legacy w:legacy="1" w:legacySpace="0" w:legacyIndent="825"/>
      <w:lvlJc w:val="left"/>
      <w:pPr>
        <w:ind w:left="1573" w:hanging="825"/>
      </w:pPr>
    </w:lvl>
  </w:abstractNum>
  <w:abstractNum w:abstractNumId="30">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nsid w:val="6CAE19C3"/>
    <w:multiLevelType w:val="singleLevel"/>
    <w:tmpl w:val="8DA46A42"/>
    <w:lvl w:ilvl="0">
      <w:start w:val="2"/>
      <w:numFmt w:val="none"/>
      <w:lvlText w:val="-"/>
      <w:legacy w:legacy="1" w:legacySpace="0" w:legacyIndent="825"/>
      <w:lvlJc w:val="left"/>
      <w:pPr>
        <w:ind w:left="1534" w:hanging="825"/>
      </w:pPr>
    </w:lvl>
  </w:abstractNum>
  <w:abstractNum w:abstractNumId="34">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nsid w:val="7D544219"/>
    <w:multiLevelType w:val="singleLevel"/>
    <w:tmpl w:val="8DA46A42"/>
    <w:lvl w:ilvl="0">
      <w:start w:val="2"/>
      <w:numFmt w:val="none"/>
      <w:lvlText w:val="-"/>
      <w:legacy w:legacy="1" w:legacySpace="0" w:legacyIndent="825"/>
      <w:lvlJc w:val="left"/>
      <w:pPr>
        <w:ind w:left="1573" w:hanging="825"/>
      </w:pPr>
    </w:lvl>
  </w:abstractNum>
  <w:num w:numId="1">
    <w:abstractNumId w:val="37"/>
  </w:num>
  <w:num w:numId="2">
    <w:abstractNumId w:val="32"/>
  </w:num>
  <w:num w:numId="3">
    <w:abstractNumId w:val="2"/>
  </w:num>
  <w:num w:numId="4">
    <w:abstractNumId w:val="33"/>
  </w:num>
  <w:num w:numId="5">
    <w:abstractNumId w:val="14"/>
  </w:num>
  <w:num w:numId="6">
    <w:abstractNumId w:val="21"/>
  </w:num>
  <w:num w:numId="7">
    <w:abstractNumId w:val="29"/>
  </w:num>
  <w:num w:numId="8">
    <w:abstractNumId w:val="22"/>
  </w:num>
  <w:num w:numId="9">
    <w:abstractNumId w:val="38"/>
  </w:num>
  <w:num w:numId="10">
    <w:abstractNumId w:val="15"/>
  </w:num>
  <w:num w:numId="11">
    <w:abstractNumId w:val="7"/>
  </w:num>
  <w:num w:numId="12">
    <w:abstractNumId w:val="17"/>
  </w:num>
  <w:num w:numId="13">
    <w:abstractNumId w:val="12"/>
  </w:num>
  <w:num w:numId="14">
    <w:abstractNumId w:val="19"/>
  </w:num>
  <w:num w:numId="15">
    <w:abstractNumId w:val="16"/>
  </w:num>
  <w:num w:numId="16">
    <w:abstractNumId w:val="36"/>
  </w:num>
  <w:num w:numId="17">
    <w:abstractNumId w:val="8"/>
  </w:num>
  <w:num w:numId="18">
    <w:abstractNumId w:val="0"/>
  </w:num>
  <w:num w:numId="19">
    <w:abstractNumId w:val="5"/>
  </w:num>
  <w:num w:numId="20">
    <w:abstractNumId w:val="23"/>
  </w:num>
  <w:num w:numId="21">
    <w:abstractNumId w:val="30"/>
  </w:num>
  <w:num w:numId="22">
    <w:abstractNumId w:val="31"/>
  </w:num>
  <w:num w:numId="23">
    <w:abstractNumId w:val="27"/>
  </w:num>
  <w:num w:numId="24">
    <w:abstractNumId w:val="18"/>
  </w:num>
  <w:num w:numId="25">
    <w:abstractNumId w:val="24"/>
  </w:num>
  <w:num w:numId="26">
    <w:abstractNumId w:val="28"/>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5"/>
  </w:num>
  <w:num w:numId="35">
    <w:abstractNumId w:val="34"/>
  </w:num>
  <w:num w:numId="36">
    <w:abstractNumId w:val="10"/>
  </w:num>
  <w:num w:numId="37">
    <w:abstractNumId w:val="26"/>
  </w:num>
  <w:num w:numId="38">
    <w:abstractNumId w:val="2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22F7D"/>
    <w:rsid w:val="00033D51"/>
    <w:rsid w:val="000431EC"/>
    <w:rsid w:val="00057246"/>
    <w:rsid w:val="00073A4E"/>
    <w:rsid w:val="000800A1"/>
    <w:rsid w:val="00082AA9"/>
    <w:rsid w:val="00087EF7"/>
    <w:rsid w:val="000E4288"/>
    <w:rsid w:val="001535AC"/>
    <w:rsid w:val="001739B2"/>
    <w:rsid w:val="001B4AEE"/>
    <w:rsid w:val="001E01D5"/>
    <w:rsid w:val="001E3D14"/>
    <w:rsid w:val="00204E96"/>
    <w:rsid w:val="002877A7"/>
    <w:rsid w:val="002A413A"/>
    <w:rsid w:val="002E245F"/>
    <w:rsid w:val="003420AD"/>
    <w:rsid w:val="00344492"/>
    <w:rsid w:val="00363F6B"/>
    <w:rsid w:val="00474AA7"/>
    <w:rsid w:val="00491EDF"/>
    <w:rsid w:val="00494C9F"/>
    <w:rsid w:val="00495174"/>
    <w:rsid w:val="004B6648"/>
    <w:rsid w:val="004C6DCE"/>
    <w:rsid w:val="004D35C3"/>
    <w:rsid w:val="00505C28"/>
    <w:rsid w:val="00517277"/>
    <w:rsid w:val="0051753B"/>
    <w:rsid w:val="00561AF1"/>
    <w:rsid w:val="005B0FD0"/>
    <w:rsid w:val="005B25DC"/>
    <w:rsid w:val="005C2194"/>
    <w:rsid w:val="005E383D"/>
    <w:rsid w:val="00652F96"/>
    <w:rsid w:val="0066549C"/>
    <w:rsid w:val="00687901"/>
    <w:rsid w:val="006B5AA9"/>
    <w:rsid w:val="00731495"/>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6D18"/>
    <w:rsid w:val="00902B3D"/>
    <w:rsid w:val="009261F7"/>
    <w:rsid w:val="00977114"/>
    <w:rsid w:val="00983AB4"/>
    <w:rsid w:val="00993AAE"/>
    <w:rsid w:val="009A66CC"/>
    <w:rsid w:val="009C4883"/>
    <w:rsid w:val="009F35B8"/>
    <w:rsid w:val="00A23031"/>
    <w:rsid w:val="00A231F3"/>
    <w:rsid w:val="00A87CAA"/>
    <w:rsid w:val="00AD0BEB"/>
    <w:rsid w:val="00B35003"/>
    <w:rsid w:val="00B75F5B"/>
    <w:rsid w:val="00B81756"/>
    <w:rsid w:val="00B841DE"/>
    <w:rsid w:val="00B8544F"/>
    <w:rsid w:val="00B87190"/>
    <w:rsid w:val="00B954E7"/>
    <w:rsid w:val="00BA758D"/>
    <w:rsid w:val="00BE5EDC"/>
    <w:rsid w:val="00BE603A"/>
    <w:rsid w:val="00CA7FBB"/>
    <w:rsid w:val="00CB21F5"/>
    <w:rsid w:val="00D065ED"/>
    <w:rsid w:val="00D3271F"/>
    <w:rsid w:val="00D91C59"/>
    <w:rsid w:val="00DA5679"/>
    <w:rsid w:val="00E2225E"/>
    <w:rsid w:val="00E5112F"/>
    <w:rsid w:val="00E54837"/>
    <w:rsid w:val="00EB4D1A"/>
    <w:rsid w:val="00EE05DF"/>
    <w:rsid w:val="00EE3F71"/>
    <w:rsid w:val="00EE7A1D"/>
    <w:rsid w:val="00F01699"/>
    <w:rsid w:val="00F2761E"/>
    <w:rsid w:val="00F65725"/>
    <w:rsid w:val="00FF1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F363D0B-984F-4445-BF2F-F5440B14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2984</Words>
  <Characters>17015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Spiridonova Lyudmila</cp:lastModifiedBy>
  <cp:revision>2</cp:revision>
  <cp:lastPrinted>2015-10-28T08:10:00Z</cp:lastPrinted>
  <dcterms:created xsi:type="dcterms:W3CDTF">2017-02-13T08:18:00Z</dcterms:created>
  <dcterms:modified xsi:type="dcterms:W3CDTF">2017-02-13T08:18:00Z</dcterms:modified>
</cp:coreProperties>
</file>